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ACE" w:rsidRDefault="002C005F" w:rsidP="00D656D9">
      <w:pPr>
        <w:snapToGrid w:val="0"/>
        <w:spacing w:line="276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E0268E">
        <w:rPr>
          <w:rFonts w:ascii="標楷體" w:eastAsia="標楷體" w:hAnsi="標楷體"/>
          <w:b/>
          <w:sz w:val="28"/>
          <w:szCs w:val="28"/>
        </w:rPr>
        <w:t>國立臺灣科技大學工程學</w:t>
      </w:r>
      <w:r w:rsidR="00667C62">
        <w:rPr>
          <w:rFonts w:ascii="標楷體" w:eastAsia="標楷體" w:hAnsi="標楷體" w:hint="eastAsia"/>
          <w:b/>
          <w:sz w:val="28"/>
          <w:szCs w:val="28"/>
        </w:rPr>
        <w:t>院</w:t>
      </w:r>
      <w:r w:rsidR="008C1648" w:rsidRPr="008C1648">
        <w:rPr>
          <w:rFonts w:ascii="標楷體" w:eastAsia="標楷體" w:hAnsi="標楷體" w:hint="eastAsia"/>
          <w:b/>
          <w:bCs/>
          <w:sz w:val="28"/>
          <w:szCs w:val="28"/>
        </w:rPr>
        <w:t>跨界前瞻工程師學程</w:t>
      </w:r>
      <w:r w:rsidR="00AF2B6F" w:rsidRPr="00E0268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D5F04" w:rsidRPr="00E0268E">
        <w:rPr>
          <w:rFonts w:ascii="標楷體" w:eastAsia="標楷體" w:hAnsi="標楷體" w:hint="eastAsia"/>
          <w:b/>
          <w:sz w:val="28"/>
          <w:szCs w:val="28"/>
        </w:rPr>
        <w:t>(</w:t>
      </w:r>
      <w:r w:rsidR="008C1648">
        <w:rPr>
          <w:rFonts w:ascii="標楷體" w:eastAsia="標楷體" w:hAnsi="標楷體" w:hint="eastAsia"/>
          <w:b/>
          <w:sz w:val="28"/>
          <w:szCs w:val="28"/>
        </w:rPr>
        <w:t>大學部</w:t>
      </w:r>
      <w:r w:rsidR="00AD5F04" w:rsidRPr="00E0268E">
        <w:rPr>
          <w:rFonts w:ascii="標楷體" w:eastAsia="標楷體" w:hAnsi="標楷體" w:hint="eastAsia"/>
          <w:b/>
          <w:sz w:val="28"/>
          <w:szCs w:val="28"/>
        </w:rPr>
        <w:t>)</w:t>
      </w:r>
      <w:r w:rsidRPr="00E0268E">
        <w:rPr>
          <w:rFonts w:ascii="標楷體" w:eastAsia="標楷體" w:hAnsi="標楷體"/>
          <w:b/>
          <w:sz w:val="28"/>
          <w:szCs w:val="28"/>
        </w:rPr>
        <w:t>修讀辦法</w:t>
      </w:r>
    </w:p>
    <w:p w:rsidR="004E056C" w:rsidRDefault="004E056C" w:rsidP="005276B0">
      <w:pPr>
        <w:wordWrap w:val="0"/>
        <w:spacing w:line="0" w:lineRule="atLeast"/>
        <w:jc w:val="right"/>
        <w:rPr>
          <w:rFonts w:eastAsia="標楷體"/>
          <w:color w:val="000000"/>
          <w:sz w:val="16"/>
        </w:rPr>
      </w:pPr>
    </w:p>
    <w:p w:rsidR="005276B0" w:rsidRDefault="005276B0" w:rsidP="004E056C">
      <w:pPr>
        <w:spacing w:line="0" w:lineRule="atLeast"/>
        <w:jc w:val="right"/>
        <w:rPr>
          <w:rFonts w:eastAsia="標楷體"/>
          <w:sz w:val="16"/>
        </w:rPr>
      </w:pPr>
      <w:r w:rsidRPr="00952521">
        <w:rPr>
          <w:rFonts w:eastAsia="標楷體"/>
          <w:sz w:val="16"/>
        </w:rPr>
        <w:t>10</w:t>
      </w:r>
      <w:r w:rsidR="008C1648" w:rsidRPr="00952521">
        <w:rPr>
          <w:rFonts w:eastAsia="標楷體" w:hint="eastAsia"/>
          <w:sz w:val="16"/>
        </w:rPr>
        <w:t>6</w:t>
      </w:r>
      <w:r w:rsidRPr="00952521">
        <w:rPr>
          <w:rFonts w:eastAsia="標楷體"/>
          <w:sz w:val="16"/>
        </w:rPr>
        <w:t>年</w:t>
      </w:r>
      <w:r w:rsidR="008C1648" w:rsidRPr="00952521">
        <w:rPr>
          <w:rFonts w:eastAsia="標楷體" w:hint="eastAsia"/>
          <w:sz w:val="16"/>
        </w:rPr>
        <w:t>9</w:t>
      </w:r>
      <w:r w:rsidRPr="00952521">
        <w:rPr>
          <w:rFonts w:eastAsia="標楷體"/>
          <w:sz w:val="16"/>
        </w:rPr>
        <w:t>月</w:t>
      </w:r>
      <w:r w:rsidR="000C5393" w:rsidRPr="00952521">
        <w:rPr>
          <w:rFonts w:eastAsia="標楷體" w:hint="eastAsia"/>
          <w:sz w:val="16"/>
        </w:rPr>
        <w:t>2</w:t>
      </w:r>
      <w:r w:rsidR="008C1648" w:rsidRPr="00952521">
        <w:rPr>
          <w:rFonts w:eastAsia="標楷體" w:hint="eastAsia"/>
          <w:sz w:val="16"/>
        </w:rPr>
        <w:t>0</w:t>
      </w:r>
      <w:r w:rsidRPr="00952521">
        <w:rPr>
          <w:rFonts w:eastAsia="標楷體"/>
          <w:sz w:val="16"/>
        </w:rPr>
        <w:t>日工程學院第</w:t>
      </w:r>
      <w:r w:rsidR="004E056C" w:rsidRPr="00952521">
        <w:rPr>
          <w:rFonts w:eastAsia="標楷體" w:hint="eastAsia"/>
          <w:sz w:val="16"/>
        </w:rPr>
        <w:t>74</w:t>
      </w:r>
      <w:r w:rsidRPr="00952521">
        <w:rPr>
          <w:rFonts w:eastAsia="標楷體"/>
          <w:sz w:val="16"/>
        </w:rPr>
        <w:t>次課程會議通過</w:t>
      </w:r>
    </w:p>
    <w:p w:rsidR="00A901C9" w:rsidRDefault="00A901C9" w:rsidP="004E056C">
      <w:pPr>
        <w:spacing w:line="0" w:lineRule="atLeast"/>
        <w:jc w:val="right"/>
        <w:rPr>
          <w:rFonts w:eastAsia="標楷體"/>
          <w:sz w:val="16"/>
        </w:rPr>
      </w:pPr>
      <w:r w:rsidRPr="00952521">
        <w:rPr>
          <w:rFonts w:eastAsia="標楷體"/>
          <w:sz w:val="16"/>
        </w:rPr>
        <w:t>10</w:t>
      </w:r>
      <w:r>
        <w:rPr>
          <w:rFonts w:eastAsia="標楷體" w:hint="eastAsia"/>
          <w:sz w:val="16"/>
        </w:rPr>
        <w:t>8</w:t>
      </w:r>
      <w:r w:rsidRPr="00952521">
        <w:rPr>
          <w:rFonts w:eastAsia="標楷體"/>
          <w:sz w:val="16"/>
        </w:rPr>
        <w:t>年</w:t>
      </w:r>
      <w:r>
        <w:rPr>
          <w:rFonts w:eastAsia="標楷體" w:hint="eastAsia"/>
          <w:sz w:val="16"/>
        </w:rPr>
        <w:t>8</w:t>
      </w:r>
      <w:r w:rsidRPr="00952521">
        <w:rPr>
          <w:rFonts w:eastAsia="標楷體"/>
          <w:sz w:val="16"/>
        </w:rPr>
        <w:t>月</w:t>
      </w:r>
      <w:r>
        <w:rPr>
          <w:rFonts w:eastAsia="標楷體" w:hint="eastAsia"/>
          <w:sz w:val="16"/>
        </w:rPr>
        <w:t>1</w:t>
      </w:r>
      <w:r w:rsidRPr="00952521">
        <w:rPr>
          <w:rFonts w:eastAsia="標楷體" w:hint="eastAsia"/>
          <w:sz w:val="16"/>
        </w:rPr>
        <w:t>2</w:t>
      </w:r>
      <w:r w:rsidRPr="00952521">
        <w:rPr>
          <w:rFonts w:eastAsia="標楷體"/>
          <w:sz w:val="16"/>
        </w:rPr>
        <w:t>日工程學院第</w:t>
      </w:r>
      <w:r>
        <w:rPr>
          <w:rFonts w:eastAsia="標楷體" w:hint="eastAsia"/>
          <w:sz w:val="16"/>
        </w:rPr>
        <w:t>8</w:t>
      </w:r>
      <w:r w:rsidRPr="00952521">
        <w:rPr>
          <w:rFonts w:eastAsia="標楷體" w:hint="eastAsia"/>
          <w:sz w:val="16"/>
        </w:rPr>
        <w:t>7</w:t>
      </w:r>
      <w:r w:rsidRPr="00952521">
        <w:rPr>
          <w:rFonts w:eastAsia="標楷體"/>
          <w:sz w:val="16"/>
        </w:rPr>
        <w:t>次課程會議通過</w:t>
      </w:r>
    </w:p>
    <w:p w:rsidR="00BB656D" w:rsidRDefault="00BB656D" w:rsidP="00BB656D">
      <w:pPr>
        <w:spacing w:line="0" w:lineRule="atLeast"/>
        <w:jc w:val="right"/>
        <w:rPr>
          <w:rFonts w:eastAsia="標楷體"/>
          <w:sz w:val="16"/>
        </w:rPr>
      </w:pPr>
      <w:r w:rsidRPr="00952521">
        <w:rPr>
          <w:rFonts w:eastAsia="標楷體"/>
          <w:sz w:val="16"/>
        </w:rPr>
        <w:t>10</w:t>
      </w:r>
      <w:r>
        <w:rPr>
          <w:rFonts w:eastAsia="標楷體" w:hint="eastAsia"/>
          <w:sz w:val="16"/>
        </w:rPr>
        <w:t>8</w:t>
      </w:r>
      <w:r w:rsidRPr="00952521">
        <w:rPr>
          <w:rFonts w:eastAsia="標楷體"/>
          <w:sz w:val="16"/>
        </w:rPr>
        <w:t>年</w:t>
      </w:r>
      <w:r>
        <w:rPr>
          <w:rFonts w:eastAsia="標楷體" w:hint="eastAsia"/>
          <w:sz w:val="16"/>
        </w:rPr>
        <w:t>10</w:t>
      </w:r>
      <w:r w:rsidRPr="00952521">
        <w:rPr>
          <w:rFonts w:eastAsia="標楷體"/>
          <w:sz w:val="16"/>
        </w:rPr>
        <w:t>月</w:t>
      </w:r>
      <w:r>
        <w:rPr>
          <w:rFonts w:eastAsia="標楷體" w:hint="eastAsia"/>
          <w:sz w:val="16"/>
        </w:rPr>
        <w:t>1</w:t>
      </w:r>
      <w:r w:rsidRPr="00952521">
        <w:rPr>
          <w:rFonts w:eastAsia="標楷體"/>
          <w:sz w:val="16"/>
        </w:rPr>
        <w:t>日第</w:t>
      </w:r>
      <w:r>
        <w:rPr>
          <w:rFonts w:eastAsia="標楷體" w:hint="eastAsia"/>
          <w:sz w:val="16"/>
        </w:rPr>
        <w:t>19</w:t>
      </w:r>
      <w:r w:rsidRPr="00952521">
        <w:rPr>
          <w:rFonts w:eastAsia="標楷體" w:hint="eastAsia"/>
          <w:sz w:val="16"/>
        </w:rPr>
        <w:t>7</w:t>
      </w:r>
      <w:r w:rsidRPr="00952521">
        <w:rPr>
          <w:rFonts w:eastAsia="標楷體"/>
          <w:sz w:val="16"/>
        </w:rPr>
        <w:t>次</w:t>
      </w:r>
      <w:r>
        <w:rPr>
          <w:rFonts w:eastAsia="標楷體" w:hint="eastAsia"/>
          <w:sz w:val="16"/>
        </w:rPr>
        <w:t>教務</w:t>
      </w:r>
      <w:r w:rsidRPr="00952521">
        <w:rPr>
          <w:rFonts w:eastAsia="標楷體"/>
          <w:sz w:val="16"/>
        </w:rPr>
        <w:t>會議通過</w:t>
      </w:r>
    </w:p>
    <w:p w:rsidR="00B87CA3" w:rsidRPr="00C34A3B" w:rsidRDefault="00B87CA3" w:rsidP="00B87CA3">
      <w:pPr>
        <w:spacing w:line="0" w:lineRule="atLeast"/>
        <w:jc w:val="right"/>
        <w:rPr>
          <w:rFonts w:eastAsia="標楷體"/>
          <w:sz w:val="16"/>
        </w:rPr>
      </w:pPr>
      <w:bookmarkStart w:id="0" w:name="_GoBack"/>
      <w:r w:rsidRPr="00C34A3B">
        <w:rPr>
          <w:rFonts w:eastAsia="標楷體"/>
          <w:sz w:val="16"/>
        </w:rPr>
        <w:t>1</w:t>
      </w:r>
      <w:r w:rsidRPr="00C34A3B">
        <w:rPr>
          <w:rFonts w:eastAsia="標楷體" w:hint="eastAsia"/>
          <w:sz w:val="16"/>
        </w:rPr>
        <w:t>12</w:t>
      </w:r>
      <w:r w:rsidRPr="00C34A3B">
        <w:rPr>
          <w:rFonts w:eastAsia="標楷體"/>
          <w:sz w:val="16"/>
        </w:rPr>
        <w:t>年</w:t>
      </w:r>
      <w:r w:rsidRPr="00C34A3B">
        <w:rPr>
          <w:rFonts w:eastAsia="標楷體" w:hint="eastAsia"/>
          <w:sz w:val="16"/>
        </w:rPr>
        <w:t>1</w:t>
      </w:r>
      <w:r w:rsidR="00B76F58" w:rsidRPr="00C34A3B">
        <w:rPr>
          <w:rFonts w:eastAsia="標楷體" w:hint="eastAsia"/>
          <w:sz w:val="16"/>
        </w:rPr>
        <w:t>1</w:t>
      </w:r>
      <w:r w:rsidRPr="00C34A3B">
        <w:rPr>
          <w:rFonts w:eastAsia="標楷體"/>
          <w:sz w:val="16"/>
        </w:rPr>
        <w:t>月</w:t>
      </w:r>
      <w:r w:rsidRPr="00C34A3B">
        <w:rPr>
          <w:rFonts w:eastAsia="標楷體" w:hint="eastAsia"/>
          <w:sz w:val="16"/>
        </w:rPr>
        <w:t>2</w:t>
      </w:r>
      <w:r w:rsidR="00B76F58" w:rsidRPr="00C34A3B">
        <w:rPr>
          <w:rFonts w:eastAsia="標楷體" w:hint="eastAsia"/>
          <w:sz w:val="16"/>
        </w:rPr>
        <w:t>9</w:t>
      </w:r>
      <w:r w:rsidRPr="00C34A3B">
        <w:rPr>
          <w:rFonts w:eastAsia="標楷體"/>
          <w:sz w:val="16"/>
        </w:rPr>
        <w:t>日工程學院第</w:t>
      </w:r>
      <w:r w:rsidRPr="00C34A3B">
        <w:rPr>
          <w:rFonts w:eastAsia="標楷體" w:hint="eastAsia"/>
          <w:sz w:val="16"/>
        </w:rPr>
        <w:t>112</w:t>
      </w:r>
      <w:r w:rsidRPr="00C34A3B">
        <w:rPr>
          <w:rFonts w:eastAsia="標楷體" w:hint="eastAsia"/>
          <w:sz w:val="16"/>
        </w:rPr>
        <w:t>學年度第</w:t>
      </w:r>
      <w:r w:rsidRPr="00C34A3B">
        <w:rPr>
          <w:rFonts w:eastAsia="標楷體" w:hint="eastAsia"/>
          <w:sz w:val="16"/>
        </w:rPr>
        <w:t>2</w:t>
      </w:r>
      <w:r w:rsidRPr="00C34A3B">
        <w:rPr>
          <w:rFonts w:eastAsia="標楷體"/>
          <w:sz w:val="16"/>
        </w:rPr>
        <w:t>次課程會議通過</w:t>
      </w:r>
    </w:p>
    <w:bookmarkEnd w:id="0"/>
    <w:p w:rsidR="00210A05" w:rsidRPr="00B87CA3" w:rsidRDefault="00210A05" w:rsidP="004E056C">
      <w:pPr>
        <w:spacing w:line="0" w:lineRule="atLeast"/>
        <w:jc w:val="right"/>
        <w:rPr>
          <w:rFonts w:eastAsia="標楷體"/>
          <w:sz w:val="16"/>
        </w:rPr>
      </w:pPr>
    </w:p>
    <w:p w:rsidR="0051271A" w:rsidRPr="00377C05" w:rsidRDefault="0051271A" w:rsidP="00D656D9">
      <w:pPr>
        <w:numPr>
          <w:ilvl w:val="0"/>
          <w:numId w:val="1"/>
        </w:numPr>
        <w:snapToGrid w:val="0"/>
        <w:spacing w:line="276" w:lineRule="auto"/>
        <w:ind w:left="567" w:rightChars="-89" w:right="-214" w:hanging="567"/>
        <w:jc w:val="both"/>
        <w:rPr>
          <w:rFonts w:eastAsia="標楷體"/>
          <w:szCs w:val="24"/>
        </w:rPr>
      </w:pPr>
      <w:r w:rsidRPr="00377C05">
        <w:rPr>
          <w:rFonts w:eastAsia="標楷體" w:hAnsi="標楷體"/>
          <w:color w:val="000000"/>
          <w:szCs w:val="24"/>
        </w:rPr>
        <w:t>修讀資格：</w:t>
      </w:r>
      <w:r w:rsidR="00D308AB" w:rsidRPr="00D308AB">
        <w:rPr>
          <w:rFonts w:eastAsia="標楷體" w:hAnsi="標楷體"/>
          <w:color w:val="000000"/>
          <w:szCs w:val="24"/>
        </w:rPr>
        <w:t>凡</w:t>
      </w:r>
      <w:r w:rsidR="00D308AB">
        <w:rPr>
          <w:rFonts w:eastAsia="標楷體" w:hAnsi="標楷體" w:hint="eastAsia"/>
          <w:color w:val="000000"/>
          <w:szCs w:val="24"/>
        </w:rPr>
        <w:t>本校大二以上</w:t>
      </w:r>
      <w:r w:rsidR="00D308AB" w:rsidRPr="00D308AB">
        <w:rPr>
          <w:rFonts w:eastAsia="標楷體" w:hAnsi="標楷體"/>
          <w:color w:val="000000"/>
          <w:szCs w:val="24"/>
        </w:rPr>
        <w:t>學生皆可修讀本學程所開之課程。</w:t>
      </w:r>
    </w:p>
    <w:p w:rsidR="00BC69D5" w:rsidRPr="000E70D1" w:rsidRDefault="00BC69D5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0E70D1">
        <w:rPr>
          <w:rFonts w:eastAsia="標楷體"/>
          <w:szCs w:val="24"/>
        </w:rPr>
        <w:t>申請方式：</w:t>
      </w:r>
      <w:r w:rsidR="00377C05" w:rsidRPr="000E70D1">
        <w:rPr>
          <w:rFonts w:eastAsia="標楷體" w:hint="eastAsia"/>
          <w:szCs w:val="24"/>
        </w:rPr>
        <w:t>應於本校行事曆規定期間提出申請。</w:t>
      </w:r>
    </w:p>
    <w:p w:rsidR="00F74DDB" w:rsidRPr="00F74DDB" w:rsidRDefault="00F74DDB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0E70D1">
        <w:rPr>
          <w:rFonts w:eastAsia="標楷體" w:hint="eastAsia"/>
          <w:szCs w:val="24"/>
        </w:rPr>
        <w:t>修讀條件：</w:t>
      </w:r>
      <w:r w:rsidR="0077433E" w:rsidRPr="000E70D1">
        <w:rPr>
          <w:rFonts w:eastAsia="標楷體" w:hint="eastAsia"/>
          <w:szCs w:val="24"/>
        </w:rPr>
        <w:t>本學程採用全英語教學，</w:t>
      </w:r>
      <w:r w:rsidRPr="000E70D1">
        <w:rPr>
          <w:rFonts w:eastAsia="標楷體" w:hint="eastAsia"/>
          <w:szCs w:val="24"/>
        </w:rPr>
        <w:t>多益成績須達</w:t>
      </w:r>
      <w:r w:rsidRPr="000E70D1">
        <w:rPr>
          <w:rFonts w:eastAsia="標楷體"/>
          <w:szCs w:val="24"/>
        </w:rPr>
        <w:t>650</w:t>
      </w:r>
      <w:r w:rsidRPr="000E70D1">
        <w:rPr>
          <w:rFonts w:eastAsia="標楷體" w:hint="eastAsia"/>
          <w:szCs w:val="24"/>
        </w:rPr>
        <w:t>分以</w:t>
      </w:r>
      <w:r w:rsidRPr="00F74DDB">
        <w:rPr>
          <w:rFonts w:eastAsia="標楷體" w:hint="eastAsia"/>
          <w:color w:val="000000"/>
          <w:szCs w:val="24"/>
        </w:rPr>
        <w:t>上</w:t>
      </w:r>
    </w:p>
    <w:p w:rsidR="00BC69D5" w:rsidRPr="00BB656D" w:rsidRDefault="00655ED4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F74DDB">
        <w:rPr>
          <w:rFonts w:eastAsia="標楷體"/>
          <w:bCs/>
          <w:szCs w:val="24"/>
        </w:rPr>
        <w:t>最</w:t>
      </w:r>
      <w:r w:rsidRPr="00BB656D">
        <w:rPr>
          <w:rFonts w:eastAsia="標楷體"/>
          <w:bCs/>
          <w:szCs w:val="24"/>
        </w:rPr>
        <w:t>低修習學分總數：最低修習總學分至少</w:t>
      </w:r>
      <w:r w:rsidR="00383A09" w:rsidRPr="00BB656D">
        <w:rPr>
          <w:rFonts w:eastAsia="標楷體" w:hint="eastAsia"/>
          <w:b/>
          <w:bCs/>
          <w:szCs w:val="24"/>
        </w:rPr>
        <w:t>9</w:t>
      </w:r>
      <w:r w:rsidRPr="00BB656D">
        <w:rPr>
          <w:rFonts w:eastAsia="標楷體"/>
          <w:bCs/>
          <w:szCs w:val="24"/>
        </w:rPr>
        <w:t>學分。</w:t>
      </w:r>
      <w:r w:rsidR="00BC69D5" w:rsidRPr="00BB656D">
        <w:rPr>
          <w:rFonts w:eastAsia="標楷體"/>
          <w:szCs w:val="24"/>
        </w:rPr>
        <w:t>學生修習本學程課程，應於每學期加退選期間辦理之。</w:t>
      </w:r>
    </w:p>
    <w:p w:rsidR="00BC69D5" w:rsidRPr="00BB656D" w:rsidRDefault="00BC69D5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BB656D">
        <w:rPr>
          <w:rFonts w:eastAsia="標楷體"/>
          <w:szCs w:val="24"/>
        </w:rPr>
        <w:t>學生修習本學程課程之學分</w:t>
      </w:r>
      <w:r w:rsidR="00395345" w:rsidRPr="00BB656D">
        <w:rPr>
          <w:rFonts w:eastAsia="標楷體" w:hint="eastAsia"/>
          <w:szCs w:val="24"/>
        </w:rPr>
        <w:t>得</w:t>
      </w:r>
      <w:r w:rsidRPr="00BB656D">
        <w:rPr>
          <w:rFonts w:eastAsia="標楷體"/>
          <w:szCs w:val="24"/>
        </w:rPr>
        <w:t>併入各系規定之畢業最低總學分數內，並併入每學期修習之學分上限內。</w:t>
      </w:r>
    </w:p>
    <w:p w:rsidR="00BC69D5" w:rsidRPr="00BB656D" w:rsidRDefault="00BC69D5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BB656D">
        <w:rPr>
          <w:rFonts w:eastAsia="標楷體"/>
          <w:szCs w:val="24"/>
        </w:rPr>
        <w:t>學生修畢本學程應修課程且成績及格者</w:t>
      </w:r>
      <w:r w:rsidR="00261FCA" w:rsidRPr="00BB656D">
        <w:rPr>
          <w:rFonts w:ascii="標楷體" w:eastAsia="標楷體" w:hAnsi="標楷體" w:hint="eastAsia"/>
          <w:szCs w:val="24"/>
        </w:rPr>
        <w:t>，應於畢業前填具申請表，並檢附歷年成績單</w:t>
      </w:r>
      <w:r w:rsidR="00D90E58" w:rsidRPr="00BB656D">
        <w:rPr>
          <w:rFonts w:ascii="標楷體" w:eastAsia="標楷體" w:hAnsi="標楷體" w:hint="eastAsia"/>
          <w:szCs w:val="24"/>
        </w:rPr>
        <w:t>正</w:t>
      </w:r>
      <w:r w:rsidR="00261FCA" w:rsidRPr="00BB656D">
        <w:rPr>
          <w:rFonts w:ascii="標楷體" w:eastAsia="標楷體" w:hAnsi="標楷體" w:hint="eastAsia"/>
          <w:szCs w:val="24"/>
        </w:rPr>
        <w:t>本，依規定時限提出申請</w:t>
      </w:r>
      <w:r w:rsidR="00261FCA" w:rsidRPr="00BB656D">
        <w:rPr>
          <w:rFonts w:eastAsia="標楷體"/>
          <w:szCs w:val="24"/>
        </w:rPr>
        <w:t>，</w:t>
      </w:r>
      <w:r w:rsidR="007A0728" w:rsidRPr="00BB656D">
        <w:rPr>
          <w:rFonts w:eastAsia="標楷體"/>
          <w:szCs w:val="24"/>
        </w:rPr>
        <w:t>經</w:t>
      </w:r>
      <w:r w:rsidR="00B70D44" w:rsidRPr="00BB656D">
        <w:rPr>
          <w:rFonts w:eastAsia="標楷體"/>
          <w:szCs w:val="24"/>
        </w:rPr>
        <w:t>工程學</w:t>
      </w:r>
      <w:r w:rsidR="006B1AD9" w:rsidRPr="00BB656D">
        <w:rPr>
          <w:rFonts w:eastAsia="標楷體"/>
          <w:szCs w:val="24"/>
        </w:rPr>
        <w:t>院</w:t>
      </w:r>
      <w:r w:rsidR="00865FF7" w:rsidRPr="00BB656D">
        <w:rPr>
          <w:rFonts w:eastAsia="標楷體" w:hint="eastAsia"/>
          <w:bCs/>
          <w:szCs w:val="24"/>
        </w:rPr>
        <w:t>跨界前瞻工程師學程</w:t>
      </w:r>
      <w:r w:rsidR="00E90620" w:rsidRPr="00BB656D">
        <w:rPr>
          <w:rFonts w:eastAsia="標楷體" w:hint="eastAsia"/>
          <w:szCs w:val="24"/>
        </w:rPr>
        <w:t>審查</w:t>
      </w:r>
      <w:r w:rsidR="00E90620" w:rsidRPr="00BB656D">
        <w:rPr>
          <w:rFonts w:eastAsia="標楷體"/>
          <w:szCs w:val="24"/>
        </w:rPr>
        <w:t>委員會審查通過後，由學院發給</w:t>
      </w:r>
      <w:r w:rsidR="00E90620" w:rsidRPr="00BB656D">
        <w:rPr>
          <w:rFonts w:eastAsia="標楷體" w:hint="eastAsia"/>
          <w:szCs w:val="24"/>
        </w:rPr>
        <w:t>學分</w:t>
      </w:r>
      <w:r w:rsidR="00E90620" w:rsidRPr="00BB656D">
        <w:rPr>
          <w:rFonts w:eastAsia="標楷體"/>
          <w:szCs w:val="24"/>
        </w:rPr>
        <w:t>學程</w:t>
      </w:r>
      <w:r w:rsidR="00E90620" w:rsidRPr="00BB656D">
        <w:rPr>
          <w:rFonts w:eastAsia="標楷體" w:hint="eastAsia"/>
          <w:szCs w:val="24"/>
        </w:rPr>
        <w:t>修</w:t>
      </w:r>
      <w:r w:rsidR="00E90620" w:rsidRPr="00BB656D">
        <w:rPr>
          <w:rFonts w:eastAsia="標楷體"/>
          <w:szCs w:val="24"/>
        </w:rPr>
        <w:t>業證明。</w:t>
      </w:r>
    </w:p>
    <w:p w:rsidR="008B1636" w:rsidRPr="00BB656D" w:rsidRDefault="008B1636" w:rsidP="00D656D9">
      <w:pPr>
        <w:numPr>
          <w:ilvl w:val="0"/>
          <w:numId w:val="1"/>
        </w:numPr>
        <w:tabs>
          <w:tab w:val="num" w:pos="906"/>
        </w:tabs>
        <w:snapToGrid w:val="0"/>
        <w:spacing w:line="276" w:lineRule="auto"/>
        <w:ind w:left="567" w:rightChars="-89" w:right="-214" w:hanging="567"/>
        <w:rPr>
          <w:rFonts w:eastAsia="標楷體"/>
          <w:szCs w:val="24"/>
        </w:rPr>
      </w:pPr>
      <w:r w:rsidRPr="00BB656D">
        <w:rPr>
          <w:rFonts w:eastAsia="標楷體"/>
          <w:szCs w:val="24"/>
        </w:rPr>
        <w:t>本辦法未規定之事宜，悉依本校學則及相關法令之規定辦理。</w:t>
      </w:r>
    </w:p>
    <w:p w:rsidR="008B1636" w:rsidRPr="00BB656D" w:rsidRDefault="004F51C5" w:rsidP="00D656D9">
      <w:pPr>
        <w:pStyle w:val="a3"/>
        <w:numPr>
          <w:ilvl w:val="0"/>
          <w:numId w:val="1"/>
        </w:numPr>
        <w:snapToGrid w:val="0"/>
        <w:spacing w:line="276" w:lineRule="auto"/>
        <w:ind w:leftChars="0" w:left="567" w:hanging="567"/>
        <w:rPr>
          <w:rFonts w:eastAsia="標楷體"/>
          <w:szCs w:val="24"/>
        </w:rPr>
      </w:pPr>
      <w:r w:rsidRPr="00BB656D">
        <w:rPr>
          <w:rFonts w:eastAsia="標楷體" w:hint="eastAsia"/>
          <w:szCs w:val="24"/>
        </w:rPr>
        <w:t>本</w:t>
      </w:r>
      <w:r w:rsidRPr="00BB656D">
        <w:rPr>
          <w:rFonts w:eastAsia="標楷體"/>
          <w:szCs w:val="24"/>
        </w:rPr>
        <w:t>辦法經本校教務會議通過後實施，修正時亦同。</w:t>
      </w:r>
    </w:p>
    <w:p w:rsidR="001C3096" w:rsidRPr="00BB656D" w:rsidRDefault="001C3096" w:rsidP="001C3096">
      <w:pPr>
        <w:pStyle w:val="a3"/>
        <w:snapToGrid w:val="0"/>
        <w:spacing w:line="276" w:lineRule="auto"/>
        <w:ind w:leftChars="0" w:left="567"/>
        <w:rPr>
          <w:rFonts w:eastAsia="標楷體"/>
          <w:dstrike/>
          <w:szCs w:val="24"/>
        </w:rPr>
      </w:pPr>
    </w:p>
    <w:p w:rsidR="008B1636" w:rsidRPr="00BB656D" w:rsidRDefault="00A77FE7" w:rsidP="00D656D9">
      <w:pPr>
        <w:snapToGrid w:val="0"/>
        <w:spacing w:line="276" w:lineRule="auto"/>
        <w:jc w:val="center"/>
        <w:rPr>
          <w:rFonts w:eastAsia="標楷體"/>
          <w:szCs w:val="24"/>
        </w:rPr>
      </w:pPr>
      <w:r w:rsidRPr="00BB656D">
        <w:rPr>
          <w:rFonts w:eastAsia="標楷體"/>
          <w:szCs w:val="24"/>
        </w:rPr>
        <w:t>附表</w:t>
      </w:r>
      <w:r w:rsidRPr="00BB656D">
        <w:rPr>
          <w:rFonts w:eastAsia="標楷體"/>
          <w:szCs w:val="24"/>
        </w:rPr>
        <w:t xml:space="preserve">  </w:t>
      </w:r>
      <w:r w:rsidR="00133506" w:rsidRPr="00BB656D">
        <w:rPr>
          <w:rFonts w:eastAsia="標楷體" w:hint="eastAsia"/>
          <w:bCs/>
          <w:szCs w:val="24"/>
        </w:rPr>
        <w:t>跨界前瞻工程師學程</w:t>
      </w:r>
      <w:r w:rsidRPr="00BB656D">
        <w:rPr>
          <w:rFonts w:eastAsia="標楷體"/>
          <w:szCs w:val="24"/>
        </w:rPr>
        <w:t>應修科目及學分數</w:t>
      </w:r>
    </w:p>
    <w:tbl>
      <w:tblPr>
        <w:tblStyle w:val="a4"/>
        <w:tblW w:w="1020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4819"/>
        <w:gridCol w:w="2694"/>
        <w:gridCol w:w="1281"/>
      </w:tblGrid>
      <w:tr w:rsidR="00BB656D" w:rsidRPr="00BB656D" w:rsidTr="008575FD">
        <w:trPr>
          <w:jc w:val="center"/>
        </w:trPr>
        <w:tc>
          <w:tcPr>
            <w:tcW w:w="1413" w:type="dxa"/>
          </w:tcPr>
          <w:p w:rsidR="00BC20FD" w:rsidRPr="00BB656D" w:rsidRDefault="00BC20FD" w:rsidP="005947F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/>
                <w:szCs w:val="24"/>
              </w:rPr>
              <w:t>課程種類</w:t>
            </w:r>
          </w:p>
        </w:tc>
        <w:tc>
          <w:tcPr>
            <w:tcW w:w="4819" w:type="dxa"/>
          </w:tcPr>
          <w:p w:rsidR="00BC20FD" w:rsidRPr="00BB656D" w:rsidRDefault="00BC20FD" w:rsidP="005947F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2694" w:type="dxa"/>
          </w:tcPr>
          <w:p w:rsidR="00BC20FD" w:rsidRPr="00BB656D" w:rsidRDefault="00BC20FD" w:rsidP="006A5707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 w:hint="eastAsia"/>
                <w:szCs w:val="24"/>
              </w:rPr>
              <w:t>課碼</w:t>
            </w:r>
          </w:p>
        </w:tc>
        <w:tc>
          <w:tcPr>
            <w:tcW w:w="1281" w:type="dxa"/>
          </w:tcPr>
          <w:p w:rsidR="00BC20FD" w:rsidRPr="00BB656D" w:rsidRDefault="00BC20FD" w:rsidP="00981F5F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/>
                <w:szCs w:val="24"/>
              </w:rPr>
              <w:t>學分數</w:t>
            </w:r>
          </w:p>
        </w:tc>
      </w:tr>
      <w:tr w:rsidR="00BB656D" w:rsidRPr="00BB656D" w:rsidTr="008575FD">
        <w:trPr>
          <w:jc w:val="center"/>
        </w:trPr>
        <w:tc>
          <w:tcPr>
            <w:tcW w:w="1413" w:type="dxa"/>
            <w:vAlign w:val="center"/>
          </w:tcPr>
          <w:p w:rsidR="00DB443C" w:rsidRPr="00BB656D" w:rsidRDefault="00DB443C" w:rsidP="00C43E33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 w:hint="eastAsia"/>
                <w:szCs w:val="24"/>
              </w:rPr>
              <w:t>必修</w:t>
            </w:r>
          </w:p>
        </w:tc>
        <w:tc>
          <w:tcPr>
            <w:tcW w:w="4819" w:type="dxa"/>
            <w:vAlign w:val="center"/>
          </w:tcPr>
          <w:p w:rsidR="00DB443C" w:rsidRPr="00675259" w:rsidRDefault="00DB443C" w:rsidP="000E668C">
            <w:pPr>
              <w:snapToGrid w:val="0"/>
              <w:spacing w:line="320" w:lineRule="exact"/>
              <w:rPr>
                <w:rFonts w:eastAsia="標楷體"/>
                <w:bCs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國際志工學習實踐</w:t>
            </w:r>
          </w:p>
        </w:tc>
        <w:tc>
          <w:tcPr>
            <w:tcW w:w="2694" w:type="dxa"/>
          </w:tcPr>
          <w:p w:rsidR="00DB443C" w:rsidRPr="00675259" w:rsidRDefault="00DB443C" w:rsidP="000E668C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675259">
              <w:rPr>
                <w:rFonts w:eastAsia="標楷體" w:hint="eastAsia"/>
                <w:szCs w:val="24"/>
              </w:rPr>
              <w:t>CE2004</w:t>
            </w:r>
          </w:p>
        </w:tc>
        <w:tc>
          <w:tcPr>
            <w:tcW w:w="1281" w:type="dxa"/>
          </w:tcPr>
          <w:p w:rsidR="00DB443C" w:rsidRPr="00AA497B" w:rsidRDefault="00DB443C" w:rsidP="000E668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497B">
              <w:rPr>
                <w:rFonts w:eastAsia="標楷體" w:hint="eastAsia"/>
                <w:szCs w:val="24"/>
              </w:rPr>
              <w:t>2</w:t>
            </w:r>
          </w:p>
        </w:tc>
      </w:tr>
      <w:tr w:rsidR="00BB656D" w:rsidRPr="00BB656D" w:rsidTr="008575FD">
        <w:trPr>
          <w:jc w:val="center"/>
        </w:trPr>
        <w:tc>
          <w:tcPr>
            <w:tcW w:w="1413" w:type="dxa"/>
            <w:vMerge w:val="restart"/>
            <w:vAlign w:val="center"/>
          </w:tcPr>
          <w:p w:rsidR="00DB443C" w:rsidRPr="00BB656D" w:rsidRDefault="00C007DD" w:rsidP="00C007DD">
            <w:pPr>
              <w:pStyle w:val="a3"/>
              <w:snapToGrid w:val="0"/>
              <w:spacing w:line="320" w:lineRule="exact"/>
              <w:ind w:leftChars="0" w:left="0" w:firstLineChars="71" w:firstLine="170"/>
              <w:rPr>
                <w:rFonts w:eastAsia="標楷體"/>
                <w:szCs w:val="24"/>
              </w:rPr>
            </w:pPr>
            <w:r w:rsidRPr="00BB656D">
              <w:rPr>
                <w:rFonts w:eastAsia="標楷體" w:hint="eastAsia"/>
                <w:szCs w:val="24"/>
              </w:rPr>
              <w:t>*</w:t>
            </w:r>
            <w:r w:rsidR="00DB443C" w:rsidRPr="00BB656D">
              <w:rPr>
                <w:rFonts w:eastAsia="標楷體" w:hint="eastAsia"/>
                <w:szCs w:val="24"/>
              </w:rPr>
              <w:t>必選修</w:t>
            </w:r>
          </w:p>
          <w:p w:rsidR="00981F5F" w:rsidRPr="00BB656D" w:rsidRDefault="00DB443C" w:rsidP="00DB443C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 w:hint="eastAsia"/>
                <w:szCs w:val="24"/>
              </w:rPr>
              <w:t>(</w:t>
            </w:r>
            <w:r w:rsidR="007E4A85" w:rsidRPr="00BB656D">
              <w:rPr>
                <w:rFonts w:eastAsia="標楷體" w:hint="eastAsia"/>
                <w:szCs w:val="24"/>
              </w:rPr>
              <w:t>任</w:t>
            </w:r>
            <w:r w:rsidRPr="00BB656D">
              <w:rPr>
                <w:rFonts w:eastAsia="標楷體" w:hint="eastAsia"/>
                <w:szCs w:val="24"/>
              </w:rPr>
              <w:t>選一</w:t>
            </w:r>
            <w:r w:rsidRPr="00BB656D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4819" w:type="dxa"/>
          </w:tcPr>
          <w:p w:rsidR="00981F5F" w:rsidRPr="00675259" w:rsidRDefault="00981F5F" w:rsidP="00981F5F">
            <w:pPr>
              <w:snapToGrid w:val="0"/>
              <w:spacing w:line="320" w:lineRule="exact"/>
              <w:rPr>
                <w:rFonts w:eastAsia="標楷體"/>
                <w:bCs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歐洲文化與企業概論</w:t>
            </w:r>
          </w:p>
        </w:tc>
        <w:tc>
          <w:tcPr>
            <w:tcW w:w="2694" w:type="dxa"/>
          </w:tcPr>
          <w:p w:rsidR="00981F5F" w:rsidRPr="00675259" w:rsidRDefault="00981F5F" w:rsidP="00186848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675259">
              <w:rPr>
                <w:rFonts w:eastAsia="標楷體"/>
                <w:szCs w:val="24"/>
              </w:rPr>
              <w:t>TCG096</w:t>
            </w:r>
            <w:r w:rsidR="00186848" w:rsidRPr="00675259">
              <w:rPr>
                <w:rFonts w:eastAsia="標楷體" w:hint="eastAsia"/>
                <w:szCs w:val="24"/>
              </w:rPr>
              <w:t xml:space="preserve"> </w:t>
            </w:r>
            <w:r w:rsidRPr="00675259">
              <w:rPr>
                <w:rFonts w:eastAsia="標楷體" w:hint="eastAsia"/>
                <w:szCs w:val="24"/>
              </w:rPr>
              <w:t>(</w:t>
            </w:r>
            <w:r w:rsidRPr="00675259">
              <w:rPr>
                <w:rFonts w:eastAsia="標楷體" w:hint="eastAsia"/>
                <w:szCs w:val="24"/>
              </w:rPr>
              <w:t>英文授課</w:t>
            </w:r>
            <w:r w:rsidRPr="0067525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81" w:type="dxa"/>
          </w:tcPr>
          <w:p w:rsidR="00981F5F" w:rsidRPr="00AA497B" w:rsidRDefault="00981F5F" w:rsidP="00895E9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497B">
              <w:rPr>
                <w:rFonts w:eastAsia="標楷體" w:hint="eastAsia"/>
                <w:szCs w:val="24"/>
              </w:rPr>
              <w:t>2</w:t>
            </w:r>
          </w:p>
        </w:tc>
      </w:tr>
      <w:tr w:rsidR="00BB656D" w:rsidRPr="00BB656D" w:rsidTr="008575FD">
        <w:trPr>
          <w:jc w:val="center"/>
        </w:trPr>
        <w:tc>
          <w:tcPr>
            <w:tcW w:w="1413" w:type="dxa"/>
            <w:vMerge/>
          </w:tcPr>
          <w:p w:rsidR="00981F5F" w:rsidRPr="00BB656D" w:rsidRDefault="00981F5F" w:rsidP="00895E9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981F5F" w:rsidRPr="00675259" w:rsidRDefault="00981F5F" w:rsidP="00186848">
            <w:pPr>
              <w:snapToGrid w:val="0"/>
              <w:spacing w:line="320" w:lineRule="exact"/>
              <w:rPr>
                <w:rFonts w:eastAsia="標楷體"/>
                <w:bCs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德國語言與文化</w:t>
            </w:r>
          </w:p>
        </w:tc>
        <w:tc>
          <w:tcPr>
            <w:tcW w:w="2694" w:type="dxa"/>
          </w:tcPr>
          <w:p w:rsidR="00981F5F" w:rsidRPr="00675259" w:rsidRDefault="00981F5F" w:rsidP="00186848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675259">
              <w:rPr>
                <w:rFonts w:eastAsia="標楷體"/>
                <w:szCs w:val="24"/>
              </w:rPr>
              <w:t>TCG089</w:t>
            </w:r>
            <w:r w:rsidR="00186848" w:rsidRPr="00675259">
              <w:rPr>
                <w:rFonts w:eastAsia="標楷體" w:hint="eastAsia"/>
                <w:szCs w:val="24"/>
              </w:rPr>
              <w:t xml:space="preserve"> </w:t>
            </w:r>
            <w:r w:rsidRPr="00675259">
              <w:rPr>
                <w:rFonts w:eastAsia="標楷體" w:hint="eastAsia"/>
                <w:szCs w:val="24"/>
              </w:rPr>
              <w:t>(</w:t>
            </w:r>
            <w:r w:rsidRPr="00675259">
              <w:rPr>
                <w:rFonts w:eastAsia="標楷體" w:hint="eastAsia"/>
                <w:szCs w:val="24"/>
              </w:rPr>
              <w:t>英文授課</w:t>
            </w:r>
            <w:r w:rsidRPr="0067525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81" w:type="dxa"/>
          </w:tcPr>
          <w:p w:rsidR="00981F5F" w:rsidRPr="00AA497B" w:rsidRDefault="00981F5F" w:rsidP="00895E9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497B">
              <w:rPr>
                <w:rFonts w:eastAsia="標楷體" w:hint="eastAsia"/>
                <w:szCs w:val="24"/>
              </w:rPr>
              <w:t>2</w:t>
            </w:r>
          </w:p>
        </w:tc>
      </w:tr>
      <w:tr w:rsidR="00BB656D" w:rsidRPr="00BB656D" w:rsidTr="008575FD">
        <w:trPr>
          <w:jc w:val="center"/>
        </w:trPr>
        <w:tc>
          <w:tcPr>
            <w:tcW w:w="1413" w:type="dxa"/>
            <w:vMerge/>
          </w:tcPr>
          <w:p w:rsidR="00981F5F" w:rsidRPr="00BB656D" w:rsidRDefault="00981F5F" w:rsidP="00895E9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981F5F" w:rsidRPr="00675259" w:rsidRDefault="00981F5F" w:rsidP="00981F5F">
            <w:pPr>
              <w:snapToGrid w:val="0"/>
              <w:spacing w:line="320" w:lineRule="exact"/>
              <w:rPr>
                <w:rFonts w:eastAsia="標楷體"/>
                <w:bCs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印尼語言與文化</w:t>
            </w:r>
          </w:p>
        </w:tc>
        <w:tc>
          <w:tcPr>
            <w:tcW w:w="2694" w:type="dxa"/>
          </w:tcPr>
          <w:p w:rsidR="00981F5F" w:rsidRPr="00675259" w:rsidRDefault="00981F5F" w:rsidP="00186848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675259">
              <w:rPr>
                <w:rFonts w:eastAsia="標楷體"/>
                <w:szCs w:val="24"/>
              </w:rPr>
              <w:t>TCG077</w:t>
            </w:r>
            <w:r w:rsidR="00186848" w:rsidRPr="00675259">
              <w:rPr>
                <w:rFonts w:eastAsia="標楷體" w:hint="eastAsia"/>
                <w:szCs w:val="24"/>
              </w:rPr>
              <w:t xml:space="preserve"> </w:t>
            </w:r>
            <w:r w:rsidRPr="00675259">
              <w:rPr>
                <w:rFonts w:eastAsia="標楷體" w:hint="eastAsia"/>
                <w:szCs w:val="24"/>
              </w:rPr>
              <w:t>(</w:t>
            </w:r>
            <w:r w:rsidRPr="00675259">
              <w:rPr>
                <w:rFonts w:eastAsia="標楷體" w:hint="eastAsia"/>
                <w:szCs w:val="24"/>
              </w:rPr>
              <w:t>英文授課</w:t>
            </w:r>
            <w:r w:rsidRPr="0067525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81" w:type="dxa"/>
          </w:tcPr>
          <w:p w:rsidR="00981F5F" w:rsidRPr="00AA497B" w:rsidRDefault="00981F5F" w:rsidP="00895E99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497B">
              <w:rPr>
                <w:rFonts w:eastAsia="標楷體" w:hint="eastAsia"/>
                <w:szCs w:val="24"/>
              </w:rPr>
              <w:t>2</w:t>
            </w:r>
          </w:p>
        </w:tc>
      </w:tr>
      <w:tr w:rsidR="00FD0381" w:rsidRPr="00BB656D" w:rsidTr="008575FD">
        <w:trPr>
          <w:jc w:val="center"/>
        </w:trPr>
        <w:tc>
          <w:tcPr>
            <w:tcW w:w="1413" w:type="dxa"/>
            <w:vMerge/>
          </w:tcPr>
          <w:p w:rsidR="00FD0381" w:rsidRPr="00BB656D" w:rsidRDefault="00FD0381" w:rsidP="00FD0381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FD0381" w:rsidRPr="00675259" w:rsidRDefault="00FD0381" w:rsidP="00FD0381">
            <w:pPr>
              <w:snapToGrid w:val="0"/>
              <w:spacing w:line="320" w:lineRule="exact"/>
              <w:rPr>
                <w:rFonts w:eastAsia="標楷體"/>
                <w:bCs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東南亞社會與文化</w:t>
            </w:r>
          </w:p>
        </w:tc>
        <w:tc>
          <w:tcPr>
            <w:tcW w:w="2694" w:type="dxa"/>
          </w:tcPr>
          <w:p w:rsidR="00FD0381" w:rsidRPr="00675259" w:rsidRDefault="00FD0381" w:rsidP="00FD0381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675259">
              <w:rPr>
                <w:rFonts w:eastAsia="標楷體"/>
                <w:szCs w:val="24"/>
              </w:rPr>
              <w:t>TCG062</w:t>
            </w:r>
            <w:r w:rsidRPr="00675259">
              <w:rPr>
                <w:rFonts w:eastAsia="標楷體" w:hint="eastAsia"/>
                <w:szCs w:val="24"/>
              </w:rPr>
              <w:t>(</w:t>
            </w:r>
            <w:r w:rsidRPr="00675259">
              <w:rPr>
                <w:rFonts w:eastAsia="標楷體" w:hint="eastAsia"/>
                <w:szCs w:val="24"/>
              </w:rPr>
              <w:t>英文授課</w:t>
            </w:r>
            <w:r w:rsidRPr="00675259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81" w:type="dxa"/>
          </w:tcPr>
          <w:p w:rsidR="00FD0381" w:rsidRPr="00AA497B" w:rsidRDefault="00FD0381" w:rsidP="00FD038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A497B">
              <w:rPr>
                <w:rFonts w:eastAsia="標楷體" w:hint="eastAsia"/>
                <w:szCs w:val="24"/>
              </w:rPr>
              <w:t>2</w:t>
            </w:r>
          </w:p>
        </w:tc>
      </w:tr>
      <w:tr w:rsidR="00DF3BB4" w:rsidRPr="00BB656D" w:rsidTr="008575FD">
        <w:trPr>
          <w:jc w:val="center"/>
        </w:trPr>
        <w:tc>
          <w:tcPr>
            <w:tcW w:w="1413" w:type="dxa"/>
            <w:vMerge/>
          </w:tcPr>
          <w:p w:rsidR="00DF3BB4" w:rsidRPr="00BB656D" w:rsidRDefault="00DF3BB4" w:rsidP="00DF3BB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DF3BB4" w:rsidRPr="00DA30AB" w:rsidRDefault="00DF3BB4" w:rsidP="00DF3BB4">
            <w:pPr>
              <w:snapToGrid w:val="0"/>
              <w:spacing w:line="320" w:lineRule="exact"/>
              <w:rPr>
                <w:rFonts w:eastAsia="標楷體"/>
                <w:bCs/>
                <w:color w:val="FF0000"/>
                <w:szCs w:val="24"/>
              </w:rPr>
            </w:pPr>
            <w:r w:rsidRPr="008B5BA7">
              <w:rPr>
                <w:rFonts w:eastAsia="標楷體" w:hint="eastAsia"/>
                <w:bCs/>
                <w:color w:val="FF0000"/>
                <w:szCs w:val="24"/>
              </w:rPr>
              <w:t>當代歐洲城市文化</w:t>
            </w:r>
          </w:p>
        </w:tc>
        <w:tc>
          <w:tcPr>
            <w:tcW w:w="2694" w:type="dxa"/>
          </w:tcPr>
          <w:p w:rsidR="00DF3BB4" w:rsidRPr="00DA30AB" w:rsidRDefault="00DF3BB4" w:rsidP="00DF3BB4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5BA7">
              <w:rPr>
                <w:rFonts w:eastAsia="標楷體"/>
                <w:color w:val="FF0000"/>
                <w:szCs w:val="24"/>
              </w:rPr>
              <w:t>TCG104</w:t>
            </w:r>
            <w:r w:rsidRPr="008B5BA7">
              <w:rPr>
                <w:rFonts w:eastAsia="標楷體" w:hint="eastAsia"/>
                <w:color w:val="FF0000"/>
                <w:szCs w:val="24"/>
              </w:rPr>
              <w:t>(</w:t>
            </w:r>
            <w:r w:rsidRPr="008B5BA7">
              <w:rPr>
                <w:rFonts w:eastAsia="標楷體" w:hint="eastAsia"/>
                <w:color w:val="FF0000"/>
                <w:szCs w:val="24"/>
              </w:rPr>
              <w:t>英文授課</w:t>
            </w:r>
            <w:r w:rsidRPr="008B5BA7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281" w:type="dxa"/>
          </w:tcPr>
          <w:p w:rsidR="00DF3BB4" w:rsidRDefault="00DF3BB4" w:rsidP="00DF3BB4">
            <w:pPr>
              <w:jc w:val="center"/>
            </w:pPr>
            <w:r w:rsidRPr="00835A00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</w:tr>
      <w:tr w:rsidR="00DF3BB4" w:rsidRPr="00BB656D" w:rsidTr="008575FD">
        <w:trPr>
          <w:jc w:val="center"/>
        </w:trPr>
        <w:tc>
          <w:tcPr>
            <w:tcW w:w="1413" w:type="dxa"/>
            <w:vMerge/>
          </w:tcPr>
          <w:p w:rsidR="00DF3BB4" w:rsidRPr="00BB656D" w:rsidRDefault="00DF3BB4" w:rsidP="00DF3BB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DF3BB4" w:rsidRPr="00DA30AB" w:rsidRDefault="00DF3BB4" w:rsidP="00DF3BB4">
            <w:pPr>
              <w:snapToGrid w:val="0"/>
              <w:spacing w:line="320" w:lineRule="exact"/>
              <w:rPr>
                <w:rFonts w:eastAsia="標楷體"/>
                <w:bCs/>
                <w:color w:val="FF0000"/>
                <w:szCs w:val="24"/>
              </w:rPr>
            </w:pPr>
            <w:r w:rsidRPr="008B3A09">
              <w:rPr>
                <w:rFonts w:eastAsia="標楷體" w:hint="eastAsia"/>
                <w:bCs/>
                <w:color w:val="FF0000"/>
                <w:szCs w:val="24"/>
              </w:rPr>
              <w:t>國際文化交流實務</w:t>
            </w:r>
          </w:p>
        </w:tc>
        <w:tc>
          <w:tcPr>
            <w:tcW w:w="2694" w:type="dxa"/>
          </w:tcPr>
          <w:p w:rsidR="00DF3BB4" w:rsidRPr="00DA30AB" w:rsidRDefault="00DF3BB4" w:rsidP="00DF3BB4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8B3A09">
              <w:rPr>
                <w:rFonts w:eastAsia="標楷體"/>
                <w:color w:val="FF0000"/>
                <w:szCs w:val="24"/>
              </w:rPr>
              <w:t>TCG124</w:t>
            </w:r>
            <w:r w:rsidRPr="008B3A09">
              <w:rPr>
                <w:rFonts w:eastAsia="標楷體" w:hint="eastAsia"/>
                <w:color w:val="FF0000"/>
                <w:szCs w:val="24"/>
              </w:rPr>
              <w:t xml:space="preserve"> </w:t>
            </w:r>
            <w:r w:rsidRPr="008B5BA7">
              <w:rPr>
                <w:rFonts w:eastAsia="標楷體" w:hint="eastAsia"/>
                <w:color w:val="FF0000"/>
                <w:szCs w:val="24"/>
              </w:rPr>
              <w:t>(</w:t>
            </w:r>
            <w:r w:rsidRPr="008B5BA7">
              <w:rPr>
                <w:rFonts w:eastAsia="標楷體" w:hint="eastAsia"/>
                <w:color w:val="FF0000"/>
                <w:szCs w:val="24"/>
              </w:rPr>
              <w:t>英文授課</w:t>
            </w:r>
            <w:r w:rsidRPr="008B5BA7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281" w:type="dxa"/>
          </w:tcPr>
          <w:p w:rsidR="00DF3BB4" w:rsidRDefault="00DF3BB4" w:rsidP="00DF3BB4">
            <w:pPr>
              <w:jc w:val="center"/>
            </w:pPr>
            <w:r w:rsidRPr="00835A00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</w:tr>
      <w:tr w:rsidR="00FD0381" w:rsidRPr="00BB656D" w:rsidTr="008575FD">
        <w:trPr>
          <w:jc w:val="center"/>
        </w:trPr>
        <w:tc>
          <w:tcPr>
            <w:tcW w:w="1413" w:type="dxa"/>
            <w:vMerge/>
          </w:tcPr>
          <w:p w:rsidR="00FD0381" w:rsidRPr="00BB656D" w:rsidRDefault="00FD0381" w:rsidP="00FD0381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19" w:type="dxa"/>
          </w:tcPr>
          <w:p w:rsidR="00FD0381" w:rsidRPr="00DA30AB" w:rsidRDefault="008575FD" w:rsidP="00FD0381">
            <w:pPr>
              <w:snapToGrid w:val="0"/>
              <w:spacing w:line="320" w:lineRule="exact"/>
              <w:rPr>
                <w:rFonts w:eastAsia="標楷體"/>
                <w:bCs/>
                <w:color w:val="FF0000"/>
                <w:szCs w:val="24"/>
              </w:rPr>
            </w:pPr>
            <w:r w:rsidRPr="008575FD">
              <w:rPr>
                <w:rFonts w:eastAsia="標楷體" w:hint="eastAsia"/>
                <w:bCs/>
                <w:color w:val="FF0000"/>
                <w:szCs w:val="24"/>
              </w:rPr>
              <w:t>歐盟、全球化－跨域在地思考永續發展目標</w:t>
            </w:r>
          </w:p>
        </w:tc>
        <w:tc>
          <w:tcPr>
            <w:tcW w:w="2694" w:type="dxa"/>
          </w:tcPr>
          <w:p w:rsidR="00FD0381" w:rsidRPr="00DA30AB" w:rsidRDefault="00FD0381" w:rsidP="00FD0381">
            <w:pPr>
              <w:snapToGrid w:val="0"/>
              <w:spacing w:line="320" w:lineRule="exact"/>
              <w:jc w:val="center"/>
              <w:rPr>
                <w:rFonts w:eastAsia="標楷體"/>
                <w:color w:val="FF0000"/>
                <w:szCs w:val="24"/>
              </w:rPr>
            </w:pPr>
            <w:r w:rsidRPr="00DA30AB">
              <w:rPr>
                <w:rFonts w:eastAsia="標楷體"/>
                <w:color w:val="FF0000"/>
                <w:szCs w:val="24"/>
              </w:rPr>
              <w:t>TCG</w:t>
            </w:r>
            <w:r w:rsidR="008575FD">
              <w:rPr>
                <w:rFonts w:eastAsia="標楷體" w:hint="eastAsia"/>
                <w:color w:val="FF0000"/>
                <w:szCs w:val="24"/>
              </w:rPr>
              <w:t>130</w:t>
            </w:r>
            <w:r w:rsidRPr="00DA30AB">
              <w:rPr>
                <w:rFonts w:eastAsia="標楷體" w:hint="eastAsia"/>
                <w:color w:val="FF0000"/>
                <w:szCs w:val="24"/>
              </w:rPr>
              <w:t>(</w:t>
            </w:r>
            <w:r w:rsidRPr="00DA30AB">
              <w:rPr>
                <w:rFonts w:eastAsia="標楷體" w:hint="eastAsia"/>
                <w:color w:val="FF0000"/>
                <w:szCs w:val="24"/>
              </w:rPr>
              <w:t>英文授課</w:t>
            </w:r>
            <w:r w:rsidRPr="00DA30AB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1281" w:type="dxa"/>
          </w:tcPr>
          <w:p w:rsidR="00FD0381" w:rsidRPr="00DA30AB" w:rsidRDefault="00FD0381" w:rsidP="00FD0381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  <w:r w:rsidRPr="00DA30AB">
              <w:rPr>
                <w:rFonts w:eastAsia="標楷體" w:hint="eastAsia"/>
                <w:color w:val="FF0000"/>
                <w:szCs w:val="24"/>
              </w:rPr>
              <w:t>2</w:t>
            </w:r>
          </w:p>
        </w:tc>
      </w:tr>
      <w:tr w:rsidR="00FD0381" w:rsidRPr="00BB656D" w:rsidTr="0030706F">
        <w:trPr>
          <w:jc w:val="center"/>
        </w:trPr>
        <w:tc>
          <w:tcPr>
            <w:tcW w:w="1413" w:type="dxa"/>
            <w:vAlign w:val="center"/>
          </w:tcPr>
          <w:p w:rsidR="00FD0381" w:rsidRPr="00BB656D" w:rsidRDefault="00FD0381" w:rsidP="00FD0381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 w:rsidRPr="00BB656D">
              <w:rPr>
                <w:rFonts w:eastAsia="標楷體" w:hint="eastAsia"/>
                <w:bCs/>
                <w:szCs w:val="24"/>
              </w:rPr>
              <w:t>選修</w:t>
            </w:r>
          </w:p>
        </w:tc>
        <w:tc>
          <w:tcPr>
            <w:tcW w:w="8794" w:type="dxa"/>
            <w:gridSpan w:val="3"/>
          </w:tcPr>
          <w:p w:rsidR="00FD0381" w:rsidRPr="00675259" w:rsidRDefault="00FD0381" w:rsidP="00FD0381">
            <w:pPr>
              <w:snapToGrid w:val="0"/>
              <w:spacing w:line="276" w:lineRule="auto"/>
              <w:ind w:leftChars="-175" w:hangingChars="175" w:hanging="420"/>
              <w:rPr>
                <w:rFonts w:eastAsia="標楷體"/>
                <w:dstrike/>
                <w:szCs w:val="24"/>
              </w:rPr>
            </w:pPr>
            <w:r w:rsidRPr="00675259">
              <w:rPr>
                <w:rFonts w:eastAsia="標楷體" w:hint="eastAsia"/>
                <w:bCs/>
                <w:szCs w:val="24"/>
              </w:rPr>
              <w:t>「</w:t>
            </w:r>
            <w:r w:rsidRPr="00675259">
              <w:rPr>
                <w:rFonts w:eastAsia="標楷體" w:hint="eastAsia"/>
                <w:bCs/>
                <w:szCs w:val="24"/>
              </w:rPr>
              <w:t xml:space="preserve"> </w:t>
            </w:r>
            <w:r w:rsidRPr="00675259">
              <w:rPr>
                <w:rFonts w:eastAsia="標楷體" w:hint="eastAsia"/>
                <w:bCs/>
                <w:szCs w:val="24"/>
              </w:rPr>
              <w:t>工程學</w:t>
            </w:r>
            <w:r w:rsidRPr="00675259">
              <w:rPr>
                <w:rFonts w:ascii="標楷體" w:eastAsia="標楷體" w:hAnsi="標楷體" w:hint="eastAsia"/>
                <w:bCs/>
                <w:szCs w:val="24"/>
              </w:rPr>
              <w:t>院各系</w:t>
            </w:r>
            <w:r w:rsidRPr="00675259">
              <w:rPr>
                <w:rFonts w:eastAsia="標楷體" w:hint="eastAsia"/>
                <w:bCs/>
                <w:szCs w:val="24"/>
              </w:rPr>
              <w:t>所開設之</w:t>
            </w:r>
            <w:r w:rsidRPr="00675259">
              <w:rPr>
                <w:rFonts w:ascii="標楷體" w:eastAsia="標楷體" w:hAnsi="標楷體" w:hint="eastAsia"/>
                <w:bCs/>
                <w:szCs w:val="24"/>
              </w:rPr>
              <w:t>課程且</w:t>
            </w:r>
            <w:r w:rsidRPr="00675259">
              <w:rPr>
                <w:rFonts w:eastAsia="標楷體" w:hint="eastAsia"/>
                <w:bCs/>
                <w:szCs w:val="24"/>
              </w:rPr>
              <w:t>英文授課者，合計至少五學分。</w:t>
            </w:r>
          </w:p>
        </w:tc>
      </w:tr>
    </w:tbl>
    <w:p w:rsidR="006972AF" w:rsidRPr="00BB656D" w:rsidRDefault="006972AF" w:rsidP="009F17F5">
      <w:pPr>
        <w:snapToGrid w:val="0"/>
        <w:spacing w:line="276" w:lineRule="auto"/>
        <w:rPr>
          <w:rFonts w:ascii="標楷體" w:eastAsia="標楷體" w:hAnsi="標楷體"/>
          <w:bCs/>
          <w:szCs w:val="24"/>
        </w:rPr>
      </w:pPr>
    </w:p>
    <w:p w:rsidR="00584EE5" w:rsidRPr="00BB656D" w:rsidRDefault="00584EE5" w:rsidP="00584EE5">
      <w:pPr>
        <w:snapToGrid w:val="0"/>
        <w:spacing w:line="276" w:lineRule="auto"/>
        <w:ind w:left="142" w:hangingChars="59" w:hanging="142"/>
        <w:rPr>
          <w:rFonts w:ascii="標楷體" w:eastAsia="標楷體" w:hAnsi="標楷體"/>
          <w:bCs/>
          <w:szCs w:val="24"/>
        </w:rPr>
      </w:pPr>
      <w:r w:rsidRPr="00BB656D">
        <w:rPr>
          <w:rFonts w:ascii="標楷體" w:eastAsia="標楷體" w:hAnsi="標楷體" w:hint="eastAsia"/>
          <w:bCs/>
          <w:szCs w:val="24"/>
        </w:rPr>
        <w:t>*必選修課程不限於上表所列。由本院課程委員會審查核可之異國文化，且英文授課之相關課程亦可。</w:t>
      </w:r>
    </w:p>
    <w:p w:rsidR="00687A81" w:rsidRPr="00584EE5" w:rsidRDefault="00687A81" w:rsidP="00584EE5">
      <w:pPr>
        <w:snapToGrid w:val="0"/>
        <w:spacing w:line="276" w:lineRule="auto"/>
        <w:rPr>
          <w:rFonts w:ascii="標楷體" w:eastAsia="標楷體" w:hAnsi="標楷體"/>
          <w:bCs/>
          <w:color w:val="FF0000"/>
          <w:szCs w:val="24"/>
        </w:rPr>
      </w:pPr>
    </w:p>
    <w:sectPr w:rsidR="00687A81" w:rsidRPr="00584EE5" w:rsidSect="00473028">
      <w:pgSz w:w="11906" w:h="16838"/>
      <w:pgMar w:top="1418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E91" w:rsidRDefault="00366E91" w:rsidP="0057476A">
      <w:r>
        <w:separator/>
      </w:r>
    </w:p>
  </w:endnote>
  <w:endnote w:type="continuationSeparator" w:id="0">
    <w:p w:rsidR="00366E91" w:rsidRDefault="00366E91" w:rsidP="0057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E91" w:rsidRDefault="00366E91" w:rsidP="0057476A">
      <w:r>
        <w:separator/>
      </w:r>
    </w:p>
  </w:footnote>
  <w:footnote w:type="continuationSeparator" w:id="0">
    <w:p w:rsidR="00366E91" w:rsidRDefault="00366E91" w:rsidP="0057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A7C22"/>
    <w:multiLevelType w:val="hybridMultilevel"/>
    <w:tmpl w:val="9EB87610"/>
    <w:lvl w:ilvl="0" w:tplc="B08EE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22E06C2"/>
    <w:multiLevelType w:val="hybridMultilevel"/>
    <w:tmpl w:val="4B929B9A"/>
    <w:lvl w:ilvl="0" w:tplc="1C8A2BD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" w15:restartNumberingAfterBreak="0">
    <w:nsid w:val="392449CE"/>
    <w:multiLevelType w:val="hybridMultilevel"/>
    <w:tmpl w:val="267CC7B2"/>
    <w:lvl w:ilvl="0" w:tplc="83F24704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8BAAA37E">
      <w:numFmt w:val="bullet"/>
      <w:lvlText w:val=""/>
      <w:lvlJc w:val="left"/>
      <w:pPr>
        <w:ind w:left="1123" w:hanging="360"/>
      </w:pPr>
      <w:rPr>
        <w:rFonts w:ascii="Wingdings" w:eastAsia="標楷體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45970029"/>
    <w:multiLevelType w:val="hybridMultilevel"/>
    <w:tmpl w:val="9926ED14"/>
    <w:lvl w:ilvl="0" w:tplc="E6E8F410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4" w15:restartNumberingAfterBreak="0">
    <w:nsid w:val="5BA10077"/>
    <w:multiLevelType w:val="hybridMultilevel"/>
    <w:tmpl w:val="16680CEE"/>
    <w:lvl w:ilvl="0" w:tplc="4E6281CC"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9A66D7"/>
    <w:multiLevelType w:val="hybridMultilevel"/>
    <w:tmpl w:val="8C1A6752"/>
    <w:lvl w:ilvl="0" w:tplc="48CC44A2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6" w15:restartNumberingAfterBreak="0">
    <w:nsid w:val="6B001C29"/>
    <w:multiLevelType w:val="hybridMultilevel"/>
    <w:tmpl w:val="D9F645E8"/>
    <w:lvl w:ilvl="0" w:tplc="1BF26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6C0E03"/>
    <w:multiLevelType w:val="hybridMultilevel"/>
    <w:tmpl w:val="B38A43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C64387"/>
    <w:multiLevelType w:val="hybridMultilevel"/>
    <w:tmpl w:val="06D8ED2E"/>
    <w:lvl w:ilvl="0" w:tplc="9CF4B92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F"/>
    <w:rsid w:val="00035952"/>
    <w:rsid w:val="000419E9"/>
    <w:rsid w:val="00055E6E"/>
    <w:rsid w:val="00062380"/>
    <w:rsid w:val="000841D3"/>
    <w:rsid w:val="000A356C"/>
    <w:rsid w:val="000C0D7A"/>
    <w:rsid w:val="000C1161"/>
    <w:rsid w:val="000C5393"/>
    <w:rsid w:val="000D14FE"/>
    <w:rsid w:val="000E0355"/>
    <w:rsid w:val="000E668C"/>
    <w:rsid w:val="000E70D1"/>
    <w:rsid w:val="00123614"/>
    <w:rsid w:val="00133506"/>
    <w:rsid w:val="00144D5C"/>
    <w:rsid w:val="00155C64"/>
    <w:rsid w:val="00155C7F"/>
    <w:rsid w:val="001619DC"/>
    <w:rsid w:val="00170905"/>
    <w:rsid w:val="0017274B"/>
    <w:rsid w:val="00174052"/>
    <w:rsid w:val="00186848"/>
    <w:rsid w:val="001C3096"/>
    <w:rsid w:val="001D4FC7"/>
    <w:rsid w:val="001E7C3A"/>
    <w:rsid w:val="001F755F"/>
    <w:rsid w:val="002067EF"/>
    <w:rsid w:val="00210A05"/>
    <w:rsid w:val="00221377"/>
    <w:rsid w:val="00224ACE"/>
    <w:rsid w:val="0025795D"/>
    <w:rsid w:val="002610EF"/>
    <w:rsid w:val="00261FCA"/>
    <w:rsid w:val="00274ECD"/>
    <w:rsid w:val="00284B61"/>
    <w:rsid w:val="002C005F"/>
    <w:rsid w:val="002C5C31"/>
    <w:rsid w:val="002D0495"/>
    <w:rsid w:val="002E33BD"/>
    <w:rsid w:val="002F6137"/>
    <w:rsid w:val="00302F33"/>
    <w:rsid w:val="0030706F"/>
    <w:rsid w:val="00313D07"/>
    <w:rsid w:val="00314D05"/>
    <w:rsid w:val="00324A4C"/>
    <w:rsid w:val="00326C57"/>
    <w:rsid w:val="00347E45"/>
    <w:rsid w:val="00366E91"/>
    <w:rsid w:val="00377C05"/>
    <w:rsid w:val="00381ED9"/>
    <w:rsid w:val="00383A09"/>
    <w:rsid w:val="00395345"/>
    <w:rsid w:val="003B3B43"/>
    <w:rsid w:val="003B67B5"/>
    <w:rsid w:val="003D41F5"/>
    <w:rsid w:val="003F34B7"/>
    <w:rsid w:val="0042643C"/>
    <w:rsid w:val="00427B27"/>
    <w:rsid w:val="00437ADC"/>
    <w:rsid w:val="00446C01"/>
    <w:rsid w:val="00470989"/>
    <w:rsid w:val="00473028"/>
    <w:rsid w:val="004845DE"/>
    <w:rsid w:val="00486DE7"/>
    <w:rsid w:val="004A5B92"/>
    <w:rsid w:val="004B3A6B"/>
    <w:rsid w:val="004C5DFD"/>
    <w:rsid w:val="004E056C"/>
    <w:rsid w:val="004E6B55"/>
    <w:rsid w:val="004F51C5"/>
    <w:rsid w:val="0051271A"/>
    <w:rsid w:val="00512FDC"/>
    <w:rsid w:val="005260DF"/>
    <w:rsid w:val="00526D39"/>
    <w:rsid w:val="005276B0"/>
    <w:rsid w:val="00535FA8"/>
    <w:rsid w:val="0055373B"/>
    <w:rsid w:val="0057476A"/>
    <w:rsid w:val="00580546"/>
    <w:rsid w:val="00584EE5"/>
    <w:rsid w:val="005947F4"/>
    <w:rsid w:val="005A2CA5"/>
    <w:rsid w:val="005B6A61"/>
    <w:rsid w:val="005C6DC2"/>
    <w:rsid w:val="005E6DD0"/>
    <w:rsid w:val="005F6873"/>
    <w:rsid w:val="00635187"/>
    <w:rsid w:val="00654352"/>
    <w:rsid w:val="00654E2E"/>
    <w:rsid w:val="00655ED4"/>
    <w:rsid w:val="00657070"/>
    <w:rsid w:val="00667360"/>
    <w:rsid w:val="00667C62"/>
    <w:rsid w:val="00667F1C"/>
    <w:rsid w:val="00675259"/>
    <w:rsid w:val="0067664A"/>
    <w:rsid w:val="00687A81"/>
    <w:rsid w:val="00694613"/>
    <w:rsid w:val="006972AF"/>
    <w:rsid w:val="006A5707"/>
    <w:rsid w:val="006A75E7"/>
    <w:rsid w:val="006B1AD9"/>
    <w:rsid w:val="006C7716"/>
    <w:rsid w:val="006E0E77"/>
    <w:rsid w:val="006E62CF"/>
    <w:rsid w:val="006F34B0"/>
    <w:rsid w:val="0070711E"/>
    <w:rsid w:val="00707314"/>
    <w:rsid w:val="00710B2D"/>
    <w:rsid w:val="00727F3F"/>
    <w:rsid w:val="007306C3"/>
    <w:rsid w:val="00732FA2"/>
    <w:rsid w:val="007338B5"/>
    <w:rsid w:val="00761CCE"/>
    <w:rsid w:val="00762D19"/>
    <w:rsid w:val="0077433E"/>
    <w:rsid w:val="007A0728"/>
    <w:rsid w:val="007A346A"/>
    <w:rsid w:val="007A54DF"/>
    <w:rsid w:val="007C0548"/>
    <w:rsid w:val="007E4A85"/>
    <w:rsid w:val="00800C2B"/>
    <w:rsid w:val="0083376F"/>
    <w:rsid w:val="008428A9"/>
    <w:rsid w:val="00847339"/>
    <w:rsid w:val="008575FD"/>
    <w:rsid w:val="00865FF7"/>
    <w:rsid w:val="00882545"/>
    <w:rsid w:val="008919E6"/>
    <w:rsid w:val="00895E99"/>
    <w:rsid w:val="00896850"/>
    <w:rsid w:val="008A5CCC"/>
    <w:rsid w:val="008A7BF6"/>
    <w:rsid w:val="008B1636"/>
    <w:rsid w:val="008B29C7"/>
    <w:rsid w:val="008B3A09"/>
    <w:rsid w:val="008B5BA7"/>
    <w:rsid w:val="008C1648"/>
    <w:rsid w:val="008C5EBB"/>
    <w:rsid w:val="009020D6"/>
    <w:rsid w:val="00902E5F"/>
    <w:rsid w:val="0090408B"/>
    <w:rsid w:val="009117CC"/>
    <w:rsid w:val="00952521"/>
    <w:rsid w:val="00955162"/>
    <w:rsid w:val="009745C5"/>
    <w:rsid w:val="00981F5F"/>
    <w:rsid w:val="00992917"/>
    <w:rsid w:val="00994085"/>
    <w:rsid w:val="009D1209"/>
    <w:rsid w:val="009D6F17"/>
    <w:rsid w:val="009D7E03"/>
    <w:rsid w:val="009F17F5"/>
    <w:rsid w:val="00A0037D"/>
    <w:rsid w:val="00A02CF1"/>
    <w:rsid w:val="00A030FA"/>
    <w:rsid w:val="00A03B4F"/>
    <w:rsid w:val="00A23718"/>
    <w:rsid w:val="00A57A77"/>
    <w:rsid w:val="00A60B6E"/>
    <w:rsid w:val="00A62C1C"/>
    <w:rsid w:val="00A77FE7"/>
    <w:rsid w:val="00A901C9"/>
    <w:rsid w:val="00A97537"/>
    <w:rsid w:val="00AA497B"/>
    <w:rsid w:val="00AB147E"/>
    <w:rsid w:val="00AC1823"/>
    <w:rsid w:val="00AC74BC"/>
    <w:rsid w:val="00AD5F04"/>
    <w:rsid w:val="00AD7EF4"/>
    <w:rsid w:val="00AE23D1"/>
    <w:rsid w:val="00AF2B6F"/>
    <w:rsid w:val="00B16B81"/>
    <w:rsid w:val="00B30F62"/>
    <w:rsid w:val="00B637E5"/>
    <w:rsid w:val="00B67CC3"/>
    <w:rsid w:val="00B70D44"/>
    <w:rsid w:val="00B76F58"/>
    <w:rsid w:val="00B85DF9"/>
    <w:rsid w:val="00B87CA3"/>
    <w:rsid w:val="00BB51B2"/>
    <w:rsid w:val="00BB656D"/>
    <w:rsid w:val="00BB71D9"/>
    <w:rsid w:val="00BC0BFF"/>
    <w:rsid w:val="00BC20FD"/>
    <w:rsid w:val="00BC4020"/>
    <w:rsid w:val="00BC69D5"/>
    <w:rsid w:val="00BC6DBE"/>
    <w:rsid w:val="00BE5424"/>
    <w:rsid w:val="00BF155E"/>
    <w:rsid w:val="00BF2CAF"/>
    <w:rsid w:val="00BF4632"/>
    <w:rsid w:val="00C007DD"/>
    <w:rsid w:val="00C03743"/>
    <w:rsid w:val="00C17FED"/>
    <w:rsid w:val="00C22A3A"/>
    <w:rsid w:val="00C34A3B"/>
    <w:rsid w:val="00C35F72"/>
    <w:rsid w:val="00C43E33"/>
    <w:rsid w:val="00C82497"/>
    <w:rsid w:val="00CA37E3"/>
    <w:rsid w:val="00CB3599"/>
    <w:rsid w:val="00CC10E6"/>
    <w:rsid w:val="00D00949"/>
    <w:rsid w:val="00D23E59"/>
    <w:rsid w:val="00D308AB"/>
    <w:rsid w:val="00D318E8"/>
    <w:rsid w:val="00D40C53"/>
    <w:rsid w:val="00D572D7"/>
    <w:rsid w:val="00D610A3"/>
    <w:rsid w:val="00D656D9"/>
    <w:rsid w:val="00D90E58"/>
    <w:rsid w:val="00DA30AB"/>
    <w:rsid w:val="00DB443C"/>
    <w:rsid w:val="00DB616E"/>
    <w:rsid w:val="00DD7EFF"/>
    <w:rsid w:val="00DF3BB4"/>
    <w:rsid w:val="00DF7EA7"/>
    <w:rsid w:val="00E0268E"/>
    <w:rsid w:val="00E11E80"/>
    <w:rsid w:val="00E15814"/>
    <w:rsid w:val="00E24EB2"/>
    <w:rsid w:val="00E63DC4"/>
    <w:rsid w:val="00E66389"/>
    <w:rsid w:val="00E75C30"/>
    <w:rsid w:val="00E867F0"/>
    <w:rsid w:val="00E90620"/>
    <w:rsid w:val="00EA56CD"/>
    <w:rsid w:val="00EA6BEB"/>
    <w:rsid w:val="00EE29D9"/>
    <w:rsid w:val="00EF53C2"/>
    <w:rsid w:val="00F23235"/>
    <w:rsid w:val="00F23C7D"/>
    <w:rsid w:val="00F31EA3"/>
    <w:rsid w:val="00F3287A"/>
    <w:rsid w:val="00F34771"/>
    <w:rsid w:val="00F57B6F"/>
    <w:rsid w:val="00F74D98"/>
    <w:rsid w:val="00F74DDB"/>
    <w:rsid w:val="00F81DD4"/>
    <w:rsid w:val="00F93935"/>
    <w:rsid w:val="00F96EBD"/>
    <w:rsid w:val="00FC394D"/>
    <w:rsid w:val="00FC7C26"/>
    <w:rsid w:val="00FD0381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4B34A-8DE8-4E3F-8511-8F5CC309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9D5"/>
    <w:pPr>
      <w:ind w:leftChars="200" w:left="480"/>
    </w:pPr>
  </w:style>
  <w:style w:type="table" w:styleId="a4">
    <w:name w:val="Table Grid"/>
    <w:basedOn w:val="a1"/>
    <w:uiPriority w:val="39"/>
    <w:rsid w:val="00A7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76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76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7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E7C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4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CA640-4566-4310-A6EF-13A191FA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381</Words>
  <Characters>417</Characters>
  <Application>Microsoft Office Word</Application>
  <DocSecurity>0</DocSecurity>
  <Lines>83</Lines>
  <Paragraphs>61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Emmahuang</dc:creator>
  <cp:keywords/>
  <dc:description/>
  <cp:lastModifiedBy>user</cp:lastModifiedBy>
  <cp:revision>35</cp:revision>
  <cp:lastPrinted>2019-08-14T08:08:00Z</cp:lastPrinted>
  <dcterms:created xsi:type="dcterms:W3CDTF">2019-08-19T08:07:00Z</dcterms:created>
  <dcterms:modified xsi:type="dcterms:W3CDTF">2023-11-29T06:10:00Z</dcterms:modified>
</cp:coreProperties>
</file>